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ind w:left="425.19685039370086" w:firstLine="0"/>
        <w:rPr>
          <w:rFonts w:ascii="Lexend" w:cs="Lexend" w:eastAsia="Lexend" w:hAnsi="Lexend"/>
          <w:b w:val="1"/>
          <w:sz w:val="36"/>
          <w:szCs w:val="36"/>
        </w:rPr>
      </w:pPr>
      <w:r w:rsidDel="00000000" w:rsidR="00000000" w:rsidRPr="00000000">
        <w:rPr>
          <w:rFonts w:ascii="Lexend" w:cs="Lexend" w:eastAsia="Lexend" w:hAnsi="Lexend"/>
          <w:b w:val="1"/>
          <w:sz w:val="36"/>
          <w:szCs w:val="36"/>
          <w:rtl w:val="0"/>
        </w:rPr>
        <w:t xml:space="preserve">Demographic transition model</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304800</wp:posOffset>
            </wp:positionH>
            <wp:positionV relativeFrom="paragraph">
              <wp:posOffset>323850</wp:posOffset>
            </wp:positionV>
            <wp:extent cx="5731200" cy="50800"/>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50800"/>
                    </a:xfrm>
                    <a:prstGeom prst="rect"/>
                    <a:ln/>
                  </pic:spPr>
                </pic:pic>
              </a:graphicData>
            </a:graphic>
          </wp:anchor>
        </w:drawing>
      </w:r>
    </w:p>
    <w:p w:rsidR="00000000" w:rsidDel="00000000" w:rsidP="00000000" w:rsidRDefault="00000000" w:rsidRPr="00000000" w14:paraId="00000002">
      <w:pPr>
        <w:pStyle w:val="Heading1"/>
        <w:spacing w:after="0" w:before="0" w:lineRule="auto"/>
        <w:rPr>
          <w:rFonts w:ascii="Lexend" w:cs="Lexend" w:eastAsia="Lexend" w:hAnsi="Lexend"/>
          <w:b w:val="1"/>
          <w:sz w:val="36"/>
          <w:szCs w:val="36"/>
        </w:rPr>
      </w:pPr>
      <w:bookmarkStart w:colFirst="0" w:colLast="0" w:name="_y36mu9z2dpel" w:id="0"/>
      <w:bookmarkEnd w:id="0"/>
      <w:r w:rsidDel="00000000" w:rsidR="00000000" w:rsidRPr="00000000">
        <w:rPr>
          <w:rtl w:val="0"/>
        </w:rPr>
      </w:r>
    </w:p>
    <w:p w:rsidR="00000000" w:rsidDel="00000000" w:rsidP="00000000" w:rsidRDefault="00000000" w:rsidRPr="00000000" w14:paraId="00000003">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Additional Materials</w:t>
      </w:r>
    </w:p>
    <w:p w:rsidR="00000000" w:rsidDel="00000000" w:rsidP="00000000" w:rsidRDefault="00000000" w:rsidRPr="00000000" w14:paraId="00000004">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05">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Narrative to Support Lesson Delivery</w:t>
      </w:r>
    </w:p>
    <w:p w:rsidR="00000000" w:rsidDel="00000000" w:rsidP="00000000" w:rsidRDefault="00000000" w:rsidRPr="00000000" w14:paraId="00000006">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07">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The demographic transition model is a valuable tool for understanding how populations change over time. It consists of five stages, each representing different patterns in birth and death rates. During this lesson, we will explore these stages and their characteristics. We will also evaluate the model's strengths and limitations, particularly in how it does not account for migration, which plays a significant role in demographic changes.</w:t>
      </w:r>
    </w:p>
    <w:p w:rsidR="00000000" w:rsidDel="00000000" w:rsidP="00000000" w:rsidRDefault="00000000" w:rsidRPr="00000000" w14:paraId="00000008">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09">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Key Points to Include in Explanation</w:t>
      </w:r>
    </w:p>
    <w:p w:rsidR="00000000" w:rsidDel="00000000" w:rsidP="00000000" w:rsidRDefault="00000000" w:rsidRPr="00000000" w14:paraId="0000000A">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Define the demographic transition model and its stages.</w:t>
      </w:r>
    </w:p>
    <w:p w:rsidR="00000000" w:rsidDel="00000000" w:rsidP="00000000" w:rsidRDefault="00000000" w:rsidRPr="00000000" w14:paraId="0000000B">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Explain how birth and death rates vary across stages.</w:t>
      </w:r>
    </w:p>
    <w:p w:rsidR="00000000" w:rsidDel="00000000" w:rsidP="00000000" w:rsidRDefault="00000000" w:rsidRPr="00000000" w14:paraId="0000000C">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Discuss how natural increase is shown on the model.</w:t>
      </w:r>
    </w:p>
    <w:p w:rsidR="00000000" w:rsidDel="00000000" w:rsidP="00000000" w:rsidRDefault="00000000" w:rsidRPr="00000000" w14:paraId="0000000D">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Provide real-world examples to illustrate each stage.</w:t>
      </w:r>
    </w:p>
    <w:p w:rsidR="00000000" w:rsidDel="00000000" w:rsidP="00000000" w:rsidRDefault="00000000" w:rsidRPr="00000000" w14:paraId="0000000E">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Evaluate the model's applicability and highlight its limitations, such as not accounting for migration.</w:t>
      </w:r>
    </w:p>
    <w:p w:rsidR="00000000" w:rsidDel="00000000" w:rsidP="00000000" w:rsidRDefault="00000000" w:rsidRPr="00000000" w14:paraId="0000000F">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0">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Suggested Image Searches</w:t>
      </w:r>
    </w:p>
    <w:p w:rsidR="00000000" w:rsidDel="00000000" w:rsidP="00000000" w:rsidRDefault="00000000" w:rsidRPr="00000000" w14:paraId="00000011">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"Demographic transition model diagram"</w:t>
      </w:r>
    </w:p>
    <w:p w:rsidR="00000000" w:rsidDel="00000000" w:rsidP="00000000" w:rsidRDefault="00000000" w:rsidRPr="00000000" w14:paraId="00000012">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"Countries at different stages of demographic transition"</w:t>
      </w:r>
    </w:p>
    <w:p w:rsidR="00000000" w:rsidDel="00000000" w:rsidP="00000000" w:rsidRDefault="00000000" w:rsidRPr="00000000" w14:paraId="00000013">
      <w:pPr>
        <w:ind w:left="425.19685039370086" w:right="548.7401574803164" w:firstLine="0"/>
        <w:rPr>
          <w:rFonts w:ascii="Lexend" w:cs="Lexend" w:eastAsia="Lexend" w:hAnsi="Lexend"/>
          <w:highlight w:val="white"/>
        </w:rPr>
      </w:pPr>
      <w:r w:rsidDel="00000000" w:rsidR="00000000" w:rsidRPr="00000000">
        <w:rPr>
          <w:rFonts w:ascii="Lexend" w:cs="Lexend" w:eastAsia="Lexend" w:hAnsi="Lexend"/>
          <w:highlight w:val="white"/>
          <w:rtl w:val="0"/>
        </w:rPr>
        <w:t xml:space="preserve">- "Strengths and limitations of demographic transition model"</w:t>
      </w:r>
      <w:r w:rsidDel="00000000" w:rsidR="00000000" w:rsidRPr="00000000">
        <w:rPr>
          <w:rtl w:val="0"/>
        </w:rPr>
      </w:r>
    </w:p>
    <w:p w:rsidR="00000000" w:rsidDel="00000000" w:rsidP="00000000" w:rsidRDefault="00000000" w:rsidRPr="00000000" w14:paraId="00000014">
      <w:pPr>
        <w:ind w:left="425.19685039370086" w:right="548.7401574803164" w:firstLine="0"/>
        <w:rPr>
          <w:rFonts w:ascii="Lexend" w:cs="Lexend" w:eastAsia="Lexend" w:hAnsi="Lexend"/>
          <w:highlight w:val="white"/>
        </w:rPr>
      </w:pPr>
      <w:r w:rsidDel="00000000" w:rsidR="00000000" w:rsidRPr="00000000">
        <w:rPr>
          <w:rtl w:val="0"/>
        </w:rPr>
      </w:r>
    </w:p>
    <w:p w:rsidR="00000000" w:rsidDel="00000000" w:rsidP="00000000" w:rsidRDefault="00000000" w:rsidRPr="00000000" w14:paraId="00000015">
      <w:pPr>
        <w:ind w:left="425.19685039370086" w:right="548.7401574803164" w:firstLine="0"/>
        <w:rPr>
          <w:rFonts w:ascii="Lexend" w:cs="Lexend" w:eastAsia="Lexend" w:hAnsi="Lexend"/>
          <w:highlight w:val="white"/>
        </w:rPr>
      </w:pPr>
      <w:r w:rsidDel="00000000" w:rsidR="00000000" w:rsidRPr="00000000">
        <w:rPr>
          <w:rtl w:val="0"/>
        </w:rPr>
      </w:r>
    </w:p>
    <w:sectPr>
      <w:headerReference r:id="rId7" w:type="default"/>
      <w:headerReference r:id="rId8" w:type="first"/>
      <w:footerReference r:id="rId9" w:type="default"/>
      <w:footerReference r:id="rId10" w:type="first"/>
      <w:pgSz w:h="16834" w:w="11909" w:orient="portrait"/>
      <w:pgMar w:bottom="1700.7874015748032" w:top="720.0000000000001" w:left="720.0000000000001" w:right="720.0000000000001" w:header="453.5433070866142" w:footer="453.54330708661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Lexend SemiBold">
    <w:embedRegular w:fontKey="{00000000-0000-0000-0000-000000000000}" r:id="rId1" w:subsetted="0"/>
    <w:embedBold w:fontKey="{00000000-0000-0000-0000-000000000000}" r:id="rId2" w:subsetted="0"/>
  </w:font>
  <w:font w:name="Lexend Light">
    <w:embedRegular w:fontKey="{00000000-0000-0000-0000-000000000000}" r:id="rId3" w:subsetted="0"/>
    <w:embedBold w:fontKey="{00000000-0000-0000-0000-000000000000}" r:id="rId4" w:subsetted="0"/>
  </w:font>
  <w:font w:name="Lexen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widowControl w:val="0"/>
      <w:spacing w:before="240" w:line="276" w:lineRule="auto"/>
      <w:ind w:right="1557.9921259842524"/>
      <w:rPr>
        <w:rFonts w:ascii="Lexend" w:cs="Lexend" w:eastAsia="Lexend" w:hAnsi="Lexend"/>
        <w:b w:val="1"/>
        <w:color w:val="575756"/>
        <w:sz w:val="18"/>
        <w:szCs w:val="18"/>
      </w:rPr>
    </w:pPr>
    <w:r w:rsidDel="00000000" w:rsidR="00000000" w:rsidRPr="00000000">
      <w:rPr>
        <w:color w:val="575756"/>
        <w:sz w:val="18"/>
        <w:szCs w:val="18"/>
        <w:rtl w:val="0"/>
      </w:rPr>
      <w:t xml:space="preserve">© Oak National Academy 2025. Licensed on the</w:t>
    </w:r>
    <w:hyperlink r:id="rId1">
      <w:r w:rsidDel="00000000" w:rsidR="00000000" w:rsidRPr="00000000">
        <w:rPr>
          <w:color w:val="575756"/>
          <w:sz w:val="18"/>
          <w:szCs w:val="18"/>
          <w:rtl w:val="0"/>
        </w:rPr>
        <w:t xml:space="preserve"> </w:t>
      </w:r>
    </w:hyperlink>
    <w:hyperlink r:id="rId2">
      <w:r w:rsidDel="00000000" w:rsidR="00000000" w:rsidRPr="00000000">
        <w:rPr>
          <w:color w:val="1155cc"/>
          <w:sz w:val="18"/>
          <w:szCs w:val="18"/>
          <w:u w:val="single"/>
          <w:rtl w:val="0"/>
        </w:rPr>
        <w:t xml:space="preserve">Open Government Licence v3.0</w:t>
      </w:r>
    </w:hyperlink>
    <w:r w:rsidDel="00000000" w:rsidR="00000000" w:rsidRPr="00000000">
      <w:rPr>
        <w:color w:val="575756"/>
        <w:sz w:val="18"/>
        <w:szCs w:val="18"/>
        <w:rtl w:val="0"/>
      </w:rPr>
      <w:t xml:space="preserve">, except where otherwise stated. See</w:t>
    </w:r>
    <w:hyperlink r:id="rId3">
      <w:r w:rsidDel="00000000" w:rsidR="00000000" w:rsidRPr="00000000">
        <w:rPr>
          <w:color w:val="575756"/>
          <w:sz w:val="18"/>
          <w:szCs w:val="18"/>
          <w:rtl w:val="0"/>
        </w:rPr>
        <w:t xml:space="preserve"> </w:t>
      </w:r>
    </w:hyperlink>
    <w:hyperlink r:id="rId4">
      <w:r w:rsidDel="00000000" w:rsidR="00000000" w:rsidRPr="00000000">
        <w:rPr>
          <w:color w:val="1155cc"/>
          <w:sz w:val="18"/>
          <w:szCs w:val="18"/>
          <w:u w:val="single"/>
          <w:rtl w:val="0"/>
        </w:rPr>
        <w:t xml:space="preserve">Oak’s T&amp;C's</w:t>
      </w:r>
    </w:hyperlink>
    <w:r w:rsidDel="00000000" w:rsidR="00000000" w:rsidRPr="00000000">
      <w:rPr>
        <w:color w:val="575756"/>
        <w:sz w:val="18"/>
        <w:szCs w:val="18"/>
        <w:rtl w:val="0"/>
      </w:rPr>
      <w:t xml:space="preserve">.</w:t>
      <w:br w:type="textWrapping"/>
      <w:t xml:space="preserve">Created with</w:t>
    </w:r>
    <w:hyperlink r:id="rId5">
      <w:r w:rsidDel="00000000" w:rsidR="00000000" w:rsidRPr="00000000">
        <w:rPr>
          <w:color w:val="575756"/>
          <w:sz w:val="18"/>
          <w:szCs w:val="18"/>
          <w:rtl w:val="0"/>
        </w:rPr>
        <w:t xml:space="preserve"> </w:t>
      </w:r>
    </w:hyperlink>
    <w:hyperlink r:id="rId6">
      <w:r w:rsidDel="00000000" w:rsidR="00000000" w:rsidRPr="00000000">
        <w:rPr>
          <w:color w:val="1155cc"/>
          <w:sz w:val="18"/>
          <w:szCs w:val="18"/>
          <w:u w:val="single"/>
          <w:rtl w:val="0"/>
        </w:rPr>
        <w:t xml:space="preserve">Aila</w:t>
      </w:r>
    </w:hyperlink>
    <w:r w:rsidDel="00000000" w:rsidR="00000000" w:rsidRPr="00000000">
      <w:rPr>
        <w:color w:val="575756"/>
        <w:sz w:val="18"/>
        <w:szCs w:val="18"/>
        <w:rtl w:val="0"/>
      </w:rPr>
      <w:t xml:space="preserve">, Oak’s AI lesson assistant. Check content carefully before use.</w:t>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6019800</wp:posOffset>
          </wp:positionH>
          <wp:positionV relativeFrom="paragraph">
            <wp:posOffset>171450</wp:posOffset>
          </wp:positionV>
          <wp:extent cx="334064" cy="450850"/>
          <wp:effectExtent b="0" l="0" r="0" t="0"/>
          <wp:wrapNone/>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34064" cy="450850"/>
                  </a:xfrm>
                  <a:prstGeom prst="rect"/>
                  <a:ln/>
                </pic:spPr>
              </pic:pic>
            </a:graphicData>
          </a:graphic>
        </wp:anchor>
      </w:drawing>
    </w:r>
  </w:p>
  <w:p w:rsidR="00000000" w:rsidDel="00000000" w:rsidP="00000000" w:rsidRDefault="00000000" w:rsidRPr="00000000" w14:paraId="0000001C">
    <w:pPr>
      <w:widowControl w:val="0"/>
      <w:spacing w:line="276" w:lineRule="auto"/>
      <w:ind w:right="282.4015748031502"/>
      <w:jc w:val="right"/>
      <w:rPr>
        <w:rFonts w:ascii="Lexend" w:cs="Lexend" w:eastAsia="Lexend" w:hAnsi="Lexend"/>
        <w:color w:val="575756"/>
        <w:sz w:val="18"/>
        <w:szCs w:val="18"/>
      </w:rPr>
    </w:pPr>
    <w:r w:rsidDel="00000000" w:rsidR="00000000" w:rsidRPr="00000000">
      <w:rPr>
        <w:color w:val="575756"/>
        <w:sz w:val="18"/>
        <w:szCs w:val="1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widowControl w:val="0"/>
      <w:spacing w:before="240" w:line="276" w:lineRule="auto"/>
      <w:ind w:left="425.19685039370086" w:right="1557.9921259842524" w:firstLine="0"/>
      <w:rPr>
        <w:rFonts w:ascii="Lexend" w:cs="Lexend" w:eastAsia="Lexend" w:hAnsi="Lexend"/>
        <w:b w:val="1"/>
        <w:color w:val="575756"/>
        <w:sz w:val="18"/>
        <w:szCs w:val="18"/>
      </w:rPr>
    </w:pPr>
    <w:r w:rsidDel="00000000" w:rsidR="00000000" w:rsidRPr="00000000">
      <w:rPr>
        <w:color w:val="575756"/>
        <w:sz w:val="18"/>
        <w:szCs w:val="18"/>
        <w:rtl w:val="0"/>
      </w:rPr>
      <w:t xml:space="preserve">© Oak National Academy 2025. Licensed on the</w:t>
    </w:r>
    <w:hyperlink r:id="rId1">
      <w:r w:rsidDel="00000000" w:rsidR="00000000" w:rsidRPr="00000000">
        <w:rPr>
          <w:color w:val="575756"/>
          <w:sz w:val="18"/>
          <w:szCs w:val="18"/>
          <w:rtl w:val="0"/>
        </w:rPr>
        <w:t xml:space="preserve"> </w:t>
      </w:r>
    </w:hyperlink>
    <w:hyperlink r:id="rId2">
      <w:r w:rsidDel="00000000" w:rsidR="00000000" w:rsidRPr="00000000">
        <w:rPr>
          <w:color w:val="1155cc"/>
          <w:sz w:val="18"/>
          <w:szCs w:val="18"/>
          <w:u w:val="single"/>
          <w:rtl w:val="0"/>
        </w:rPr>
        <w:t xml:space="preserve">Open Government Licence v3.0</w:t>
      </w:r>
    </w:hyperlink>
    <w:r w:rsidDel="00000000" w:rsidR="00000000" w:rsidRPr="00000000">
      <w:rPr>
        <w:color w:val="575756"/>
        <w:sz w:val="18"/>
        <w:szCs w:val="18"/>
        <w:rtl w:val="0"/>
      </w:rPr>
      <w:t xml:space="preserve">, except where otherwise stated. See</w:t>
    </w:r>
    <w:hyperlink r:id="rId3">
      <w:r w:rsidDel="00000000" w:rsidR="00000000" w:rsidRPr="00000000">
        <w:rPr>
          <w:color w:val="575756"/>
          <w:sz w:val="18"/>
          <w:szCs w:val="18"/>
          <w:rtl w:val="0"/>
        </w:rPr>
        <w:t xml:space="preserve"> </w:t>
      </w:r>
    </w:hyperlink>
    <w:hyperlink r:id="rId4">
      <w:r w:rsidDel="00000000" w:rsidR="00000000" w:rsidRPr="00000000">
        <w:rPr>
          <w:color w:val="1155cc"/>
          <w:sz w:val="18"/>
          <w:szCs w:val="18"/>
          <w:u w:val="single"/>
          <w:rtl w:val="0"/>
        </w:rPr>
        <w:t xml:space="preserve">Oak’s T&amp;C's</w:t>
      </w:r>
    </w:hyperlink>
    <w:r w:rsidDel="00000000" w:rsidR="00000000" w:rsidRPr="00000000">
      <w:rPr>
        <w:color w:val="575756"/>
        <w:sz w:val="18"/>
        <w:szCs w:val="18"/>
        <w:rtl w:val="0"/>
      </w:rPr>
      <w:t xml:space="preserve">.</w:t>
      <w:br w:type="textWrapping"/>
      <w:t xml:space="preserve">Created with</w:t>
    </w:r>
    <w:hyperlink r:id="rId5">
      <w:r w:rsidDel="00000000" w:rsidR="00000000" w:rsidRPr="00000000">
        <w:rPr>
          <w:color w:val="575756"/>
          <w:sz w:val="18"/>
          <w:szCs w:val="18"/>
          <w:rtl w:val="0"/>
        </w:rPr>
        <w:t xml:space="preserve"> </w:t>
      </w:r>
    </w:hyperlink>
    <w:hyperlink r:id="rId6">
      <w:r w:rsidDel="00000000" w:rsidR="00000000" w:rsidRPr="00000000">
        <w:rPr>
          <w:color w:val="1155cc"/>
          <w:sz w:val="18"/>
          <w:szCs w:val="18"/>
          <w:u w:val="single"/>
          <w:rtl w:val="0"/>
        </w:rPr>
        <w:t xml:space="preserve">Aila</w:t>
      </w:r>
    </w:hyperlink>
    <w:r w:rsidDel="00000000" w:rsidR="00000000" w:rsidRPr="00000000">
      <w:rPr>
        <w:color w:val="575756"/>
        <w:sz w:val="18"/>
        <w:szCs w:val="18"/>
        <w:rtl w:val="0"/>
      </w:rPr>
      <w:t xml:space="preserve">, Oak’s AI lesson assistant. Check content carefully before use.</w:t>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6038850</wp:posOffset>
          </wp:positionH>
          <wp:positionV relativeFrom="paragraph">
            <wp:posOffset>114300</wp:posOffset>
          </wp:positionV>
          <wp:extent cx="334064" cy="450850"/>
          <wp:effectExtent b="0" l="0" r="0" t="0"/>
          <wp:wrapNone/>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34064" cy="450850"/>
                  </a:xfrm>
                  <a:prstGeom prst="rect"/>
                  <a:ln/>
                </pic:spPr>
              </pic:pic>
            </a:graphicData>
          </a:graphic>
        </wp:anchor>
      </w:drawing>
    </w:r>
  </w:p>
  <w:p w:rsidR="00000000" w:rsidDel="00000000" w:rsidP="00000000" w:rsidRDefault="00000000" w:rsidRPr="00000000" w14:paraId="0000001E">
    <w:pPr>
      <w:widowControl w:val="0"/>
      <w:spacing w:line="276" w:lineRule="auto"/>
      <w:ind w:right="548.7401574803164"/>
      <w:jc w:val="right"/>
      <w:rPr>
        <w:rFonts w:ascii="Lexend" w:cs="Lexend" w:eastAsia="Lexend" w:hAnsi="Lexend"/>
        <w:color w:val="575756"/>
        <w:sz w:val="18"/>
        <w:szCs w:val="18"/>
      </w:rPr>
    </w:pPr>
    <w:r w:rsidDel="00000000" w:rsidR="00000000" w:rsidRPr="00000000">
      <w:rPr>
        <w:color w:val="575756"/>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line="276" w:lineRule="auto"/>
      <w:ind w:left="425.19685039370086" w:right="548.7401574803164" w:firstLine="0"/>
      <w:rPr>
        <w:rFonts w:ascii="Lexend" w:cs="Lexend" w:eastAsia="Lexend" w:hAnsi="Lexend"/>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4143375</wp:posOffset>
          </wp:positionH>
          <wp:positionV relativeFrom="paragraph">
            <wp:posOffset>123825</wp:posOffset>
          </wp:positionV>
          <wp:extent cx="504000" cy="504000"/>
          <wp:effectExtent b="0" l="0" r="0" t="0"/>
          <wp:wrapNone/>
          <wp:docPr id="4"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504000" cy="504000"/>
                  </a:xfrm>
                  <a:prstGeom prst="rect"/>
                  <a:ln/>
                </pic:spPr>
              </pic:pic>
            </a:graphicData>
          </a:graphic>
        </wp:anchor>
      </w:drawing>
    </w:r>
  </w:p>
  <w:p w:rsidR="00000000" w:rsidDel="00000000" w:rsidP="00000000" w:rsidRDefault="00000000" w:rsidRPr="00000000" w14:paraId="00000017">
    <w:pPr>
      <w:spacing w:line="276" w:lineRule="auto"/>
      <w:ind w:left="425.19685039370086" w:right="548.7401574803164" w:firstLine="0"/>
      <w:rPr/>
    </w:pPr>
    <w:r w:rsidDel="00000000" w:rsidR="00000000" w:rsidRPr="00000000">
      <w:rPr>
        <w:rFonts w:ascii="Lexend" w:cs="Lexend" w:eastAsia="Lexend" w:hAnsi="Lexend"/>
        <w:b w:val="1"/>
        <w:rtl w:val="0"/>
      </w:rPr>
      <w:t xml:space="preserve">Name:</w:t>
      <w:tab/>
      <w:t xml:space="preserve">             </w:t>
      <w:tab/>
      <w:tab/>
      <w:tab/>
      <w:tab/>
      <w:tab/>
      <w:t xml:space="preserve"> </w:t>
      <w:tab/>
      <w:tab/>
      <w:t xml:space="preserve">    Additional material</w:t>
    </w:r>
    <w:r w:rsidDel="00000000" w:rsidR="00000000" w:rsidRPr="00000000">
      <w:rPr>
        <w:rtl w:val="0"/>
      </w:rPr>
    </w:r>
  </w:p>
  <w:p w:rsidR="00000000" w:rsidDel="00000000" w:rsidP="00000000" w:rsidRDefault="00000000" w:rsidRPr="00000000" w14:paraId="00000018">
    <w:pPr>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line="276" w:lineRule="auto"/>
      <w:ind w:right="-142.7952755905511"/>
      <w:rPr>
        <w:rFonts w:ascii="Lexend" w:cs="Lexend" w:eastAsia="Lexend" w:hAnsi="Lexend"/>
        <w:b w:val="1"/>
      </w:rPr>
    </w:pPr>
    <w:r w:rsidDel="00000000" w:rsidR="00000000" w:rsidRPr="00000000">
      <w:rPr>
        <w:rtl w:val="0"/>
      </w:rPr>
    </w:r>
  </w:p>
  <w:p w:rsidR="00000000" w:rsidDel="00000000" w:rsidP="00000000" w:rsidRDefault="00000000" w:rsidRPr="00000000" w14:paraId="0000001A">
    <w:pPr>
      <w:rPr>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exend Light" w:cs="Lexend Light" w:eastAsia="Lexend Light" w:hAnsi="Lexend Light"/>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360" w:before="240" w:lineRule="auto"/>
    </w:pPr>
    <w:rPr>
      <w:rFonts w:ascii="Lexend SemiBold" w:cs="Lexend SemiBold" w:eastAsia="Lexend SemiBold" w:hAnsi="Lexend SemiBold"/>
      <w:sz w:val="48"/>
      <w:szCs w:val="48"/>
    </w:rPr>
  </w:style>
  <w:style w:type="paragraph" w:styleId="Heading2">
    <w:name w:val="heading 2"/>
    <w:basedOn w:val="Normal"/>
    <w:next w:val="Normal"/>
    <w:pPr>
      <w:keepNext w:val="1"/>
      <w:keepLines w:val="1"/>
      <w:spacing w:before="320" w:lineRule="auto"/>
    </w:pPr>
    <w:rPr>
      <w:rFonts w:ascii="Lexend SemiBold" w:cs="Lexend SemiBold" w:eastAsia="Lexend SemiBold" w:hAnsi="Lexend SemiBold"/>
      <w:sz w:val="32"/>
      <w:szCs w:val="32"/>
    </w:rPr>
  </w:style>
  <w:style w:type="paragraph" w:styleId="Heading3">
    <w:name w:val="heading 3"/>
    <w:basedOn w:val="Normal"/>
    <w:next w:val="Normal"/>
    <w:pPr>
      <w:keepNext w:val="1"/>
      <w:keepLines w:val="1"/>
      <w:spacing w:before="320" w:lineRule="auto"/>
    </w:pPr>
    <w:rPr>
      <w:rFonts w:ascii="Lexend SemiBold" w:cs="Lexend SemiBold" w:eastAsia="Lexend SemiBold" w:hAnsi="Lexend SemiBold"/>
    </w:rPr>
  </w:style>
  <w:style w:type="paragraph" w:styleId="Heading4">
    <w:name w:val="heading 4"/>
    <w:basedOn w:val="Normal"/>
    <w:next w:val="Normal"/>
    <w:pPr>
      <w:keepNext w:val="1"/>
      <w:keepLines w:val="1"/>
      <w:spacing w:before="320" w:lineRule="auto"/>
    </w:pPr>
    <w:rPr>
      <w:rFonts w:ascii="Lexend SemiBold" w:cs="Lexend SemiBold" w:eastAsia="Lexend SemiBold" w:hAnsi="Lexend SemiBold"/>
    </w:rPr>
  </w:style>
  <w:style w:type="paragraph" w:styleId="Heading5">
    <w:name w:val="heading 5"/>
    <w:basedOn w:val="Normal"/>
    <w:next w:val="Normal"/>
    <w:pPr>
      <w:keepNext w:val="1"/>
      <w:keepLines w:val="1"/>
      <w:spacing w:after="320" w:before="320" w:lineRule="auto"/>
    </w:pPr>
    <w:rPr>
      <w:sz w:val="32"/>
      <w:szCs w:val="3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320" w:lineRule="auto"/>
    </w:pPr>
    <w:rPr>
      <w:rFonts w:ascii="Lexend SemiBold" w:cs="Lexend SemiBold" w:eastAsia="Lexend SemiBold" w:hAnsi="Lexend SemiBold"/>
      <w:sz w:val="90"/>
      <w:szCs w:val="90"/>
    </w:rPr>
  </w:style>
  <w:style w:type="paragraph" w:styleId="Subtitle">
    <w:name w:val="Subtitle"/>
    <w:basedOn w:val="Normal"/>
    <w:next w:val="Normal"/>
    <w:pPr>
      <w:keepNext w:val="1"/>
      <w:keepLines w:val="1"/>
    </w:pPr>
    <w:rPr>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exendSemiBold-regular.ttf"/><Relationship Id="rId2" Type="http://schemas.openxmlformats.org/officeDocument/2006/relationships/font" Target="fonts/LexendSemiBold-bold.ttf"/><Relationship Id="rId3" Type="http://schemas.openxmlformats.org/officeDocument/2006/relationships/font" Target="fonts/LexendLight-regular.ttf"/><Relationship Id="rId4" Type="http://schemas.openxmlformats.org/officeDocument/2006/relationships/font" Target="fonts/LexendLight-bold.ttf"/><Relationship Id="rId5" Type="http://schemas.openxmlformats.org/officeDocument/2006/relationships/font" Target="fonts/Lexend-regular.ttf"/><Relationship Id="rId6" Type="http://schemas.openxmlformats.org/officeDocument/2006/relationships/font" Target="fonts/Lexend-bold.ttf"/></Relationships>
</file>

<file path=word/_rels/footer1.xml.rels><?xml version="1.0" encoding="UTF-8" standalone="yes"?><Relationships xmlns="http://schemas.openxmlformats.org/package/2006/relationships"><Relationship Id="rId1" Type="http://schemas.openxmlformats.org/officeDocument/2006/relationships/hyperlink" Target="https://www.nationalarchives.gov.uk/doc/open-government-licence/version/3/" TargetMode="External"/><Relationship Id="rId2" Type="http://schemas.openxmlformats.org/officeDocument/2006/relationships/hyperlink" Target="https://www.nationalarchives.gov.uk/doc/open-government-licence/version/3/" TargetMode="External"/><Relationship Id="rId3" Type="http://schemas.openxmlformats.org/officeDocument/2006/relationships/hyperlink" Target="https://www.thenational.academy/legal/terms-and-conditions" TargetMode="External"/><Relationship Id="rId4" Type="http://schemas.openxmlformats.org/officeDocument/2006/relationships/hyperlink" Target="https://www.thenational.academy/legal/terms-and-conditions" TargetMode="External"/><Relationship Id="rId5" Type="http://schemas.openxmlformats.org/officeDocument/2006/relationships/hyperlink" Target="https://labs.thenational.academy/aila" TargetMode="External"/><Relationship Id="rId6" Type="http://schemas.openxmlformats.org/officeDocument/2006/relationships/hyperlink" Target="https://labs.thenational.academy/aila" TargetMode="External"/><Relationship Id="rId7"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https://www.nationalarchives.gov.uk/doc/open-government-licence/version/3/" TargetMode="External"/><Relationship Id="rId2" Type="http://schemas.openxmlformats.org/officeDocument/2006/relationships/hyperlink" Target="https://www.nationalarchives.gov.uk/doc/open-government-licence/version/3/" TargetMode="External"/><Relationship Id="rId3" Type="http://schemas.openxmlformats.org/officeDocument/2006/relationships/hyperlink" Target="https://www.thenational.academy/legal/terms-and-conditions" TargetMode="External"/><Relationship Id="rId4" Type="http://schemas.openxmlformats.org/officeDocument/2006/relationships/hyperlink" Target="https://www.thenational.academy/legal/terms-and-conditions" TargetMode="External"/><Relationship Id="rId5" Type="http://schemas.openxmlformats.org/officeDocument/2006/relationships/hyperlink" Target="https://labs.thenational.academy/aila" TargetMode="External"/><Relationship Id="rId6" Type="http://schemas.openxmlformats.org/officeDocument/2006/relationships/hyperlink" Target="https://labs.thenational.academy/aila" TargetMode="External"/><Relationship Id="rId7"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